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3F0DE" w14:textId="7DB3BA95" w:rsidR="00745F63" w:rsidRDefault="00745F63" w:rsidP="00CA44E3">
      <w:pPr>
        <w:spacing w:after="0" w:line="240" w:lineRule="auto"/>
        <w:jc w:val="both"/>
        <w:rPr>
          <w:rFonts w:asciiTheme="minorHAnsi" w:hAnsiTheme="minorHAnsi" w:cstheme="minorHAnsi"/>
          <w:lang w:val="mk-MK"/>
        </w:rPr>
      </w:pPr>
      <w:r>
        <w:rPr>
          <w:noProof/>
        </w:rPr>
        <w:drawing>
          <wp:anchor distT="0" distB="0" distL="114300" distR="114300" simplePos="0" relativeHeight="251659264" behindDoc="0" locked="0" layoutInCell="1" allowOverlap="1" wp14:anchorId="7309D71E" wp14:editId="68BE4295">
            <wp:simplePos x="0" y="0"/>
            <wp:positionH relativeFrom="column">
              <wp:posOffset>1962150</wp:posOffset>
            </wp:positionH>
            <wp:positionV relativeFrom="paragraph">
              <wp:posOffset>0</wp:posOffset>
            </wp:positionV>
            <wp:extent cx="1905481" cy="864354"/>
            <wp:effectExtent l="0" t="0" r="0" b="0"/>
            <wp:wrapTopAndBottom/>
            <wp:docPr id="1" name="1" descr="Char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 name="1" descr="Chart&#10;&#10;Description automatically generated with medium confidence"/>
                    <pic:cNvPicPr/>
                  </pic:nvPicPr>
                  <pic:blipFill>
                    <a:blip r:embed="rId4">
                      <a:lum/>
                      <a:alphaModFix/>
                    </a:blip>
                    <a:srcRect/>
                    <a:stretch>
                      <a:fillRect/>
                    </a:stretch>
                  </pic:blipFill>
                  <pic:spPr>
                    <a:xfrm>
                      <a:off x="0" y="0"/>
                      <a:ext cx="1905481" cy="864354"/>
                    </a:xfrm>
                    <a:prstGeom prst="rect">
                      <a:avLst/>
                    </a:prstGeom>
                    <a:noFill/>
                    <a:ln>
                      <a:noFill/>
                      <a:prstDash/>
                    </a:ln>
                  </pic:spPr>
                </pic:pic>
              </a:graphicData>
            </a:graphic>
          </wp:anchor>
        </w:drawing>
      </w:r>
    </w:p>
    <w:p w14:paraId="0CF4B289" w14:textId="77777777" w:rsidR="00745F63" w:rsidRDefault="00745F63" w:rsidP="00CA44E3">
      <w:pPr>
        <w:spacing w:after="0" w:line="240" w:lineRule="auto"/>
        <w:jc w:val="both"/>
        <w:rPr>
          <w:rFonts w:asciiTheme="minorHAnsi" w:hAnsiTheme="minorHAnsi" w:cstheme="minorHAnsi"/>
          <w:lang w:val="mk-MK"/>
        </w:rPr>
      </w:pPr>
    </w:p>
    <w:p w14:paraId="0532820C" w14:textId="77777777" w:rsidR="00745F63" w:rsidRDefault="00745F63" w:rsidP="00CA44E3">
      <w:pPr>
        <w:spacing w:after="0" w:line="240" w:lineRule="auto"/>
        <w:jc w:val="both"/>
        <w:rPr>
          <w:rFonts w:asciiTheme="minorHAnsi" w:hAnsiTheme="minorHAnsi" w:cstheme="minorHAnsi"/>
          <w:lang w:val="mk-MK"/>
        </w:rPr>
      </w:pPr>
    </w:p>
    <w:p w14:paraId="40A047C9" w14:textId="2271DCDB" w:rsidR="00CA44E3" w:rsidRPr="00C8574E" w:rsidRDefault="00CA44E3" w:rsidP="00CA44E3">
      <w:pPr>
        <w:spacing w:after="0" w:line="240" w:lineRule="auto"/>
        <w:jc w:val="both"/>
        <w:rPr>
          <w:rFonts w:asciiTheme="minorHAnsi" w:hAnsiTheme="minorHAnsi" w:cstheme="minorHAnsi"/>
          <w:lang w:val="mk-MK"/>
        </w:rPr>
      </w:pPr>
      <w:r w:rsidRPr="00C8574E">
        <w:rPr>
          <w:rFonts w:asciiTheme="minorHAnsi" w:hAnsiTheme="minorHAnsi" w:cstheme="minorHAnsi"/>
          <w:lang w:val="mk-MK"/>
        </w:rPr>
        <w:t>Врз основа на член 383, став 1, точка 2 и член 384, став 2, точка 1 од Законот за трговските друштва и член 51 од Статутот на Друштвото, Собранието на акционери на Осигурителното брокерско друштво СН ОСИГУРИТЕЛЕН БРОКЕР АД Битола, со седиште на ул.Димитар Илиевски Мурато бр.5 во Битола, со ЕМБС 7000324, на седницата на годишното собрание, одржана на ден 12.08.2022 година, ја донесе следната</w:t>
      </w:r>
    </w:p>
    <w:p w14:paraId="5FEEC235" w14:textId="77777777" w:rsidR="00CA44E3" w:rsidRPr="00C8574E" w:rsidRDefault="00CA44E3" w:rsidP="00CA44E3">
      <w:pPr>
        <w:spacing w:after="0" w:line="240" w:lineRule="auto"/>
        <w:jc w:val="both"/>
        <w:rPr>
          <w:rFonts w:asciiTheme="minorHAnsi" w:hAnsiTheme="minorHAnsi" w:cstheme="minorHAnsi"/>
          <w:lang w:val="mk-MK"/>
        </w:rPr>
      </w:pPr>
    </w:p>
    <w:p w14:paraId="659D6370" w14:textId="77777777" w:rsidR="00CA44E3" w:rsidRPr="00C8574E" w:rsidRDefault="00CA44E3" w:rsidP="00CA44E3">
      <w:pPr>
        <w:spacing w:after="0" w:line="240" w:lineRule="auto"/>
        <w:jc w:val="both"/>
        <w:rPr>
          <w:rFonts w:asciiTheme="minorHAnsi" w:hAnsiTheme="minorHAnsi" w:cstheme="minorHAnsi"/>
          <w:lang w:val="mk-MK"/>
        </w:rPr>
      </w:pPr>
    </w:p>
    <w:p w14:paraId="61FCA703" w14:textId="77777777" w:rsidR="00CA44E3" w:rsidRPr="00C8574E" w:rsidRDefault="00CA44E3" w:rsidP="00CA44E3">
      <w:pPr>
        <w:spacing w:after="0" w:line="240" w:lineRule="auto"/>
        <w:jc w:val="both"/>
        <w:rPr>
          <w:rFonts w:asciiTheme="minorHAnsi" w:hAnsiTheme="minorHAnsi" w:cstheme="minorHAnsi"/>
          <w:lang w:val="mk-MK"/>
        </w:rPr>
      </w:pPr>
    </w:p>
    <w:p w14:paraId="34A00A70" w14:textId="77777777" w:rsidR="00CA44E3" w:rsidRPr="00C8574E" w:rsidRDefault="00CA44E3" w:rsidP="00CA44E3">
      <w:pPr>
        <w:spacing w:after="0" w:line="240" w:lineRule="auto"/>
        <w:jc w:val="both"/>
        <w:rPr>
          <w:rFonts w:asciiTheme="minorHAnsi" w:hAnsiTheme="minorHAnsi" w:cstheme="minorHAnsi"/>
          <w:lang w:val="mk-MK"/>
        </w:rPr>
      </w:pPr>
    </w:p>
    <w:p w14:paraId="7ABD3730" w14:textId="77777777" w:rsidR="00CA44E3" w:rsidRPr="00C8574E" w:rsidRDefault="00CA44E3" w:rsidP="00CA44E3">
      <w:pPr>
        <w:spacing w:after="0" w:line="240" w:lineRule="auto"/>
        <w:ind w:firstLine="720"/>
        <w:jc w:val="center"/>
        <w:rPr>
          <w:rFonts w:asciiTheme="minorHAnsi" w:hAnsiTheme="minorHAnsi" w:cstheme="minorHAnsi"/>
          <w:b/>
          <w:lang w:val="mk-MK"/>
        </w:rPr>
      </w:pPr>
      <w:r w:rsidRPr="00C8574E">
        <w:rPr>
          <w:rFonts w:asciiTheme="minorHAnsi" w:hAnsiTheme="minorHAnsi" w:cstheme="minorHAnsi"/>
          <w:b/>
          <w:lang w:val="mk-MK"/>
        </w:rPr>
        <w:t>ОДЛУКА</w:t>
      </w:r>
    </w:p>
    <w:p w14:paraId="47FB17BC" w14:textId="77777777" w:rsidR="00CA44E3" w:rsidRPr="00C8574E" w:rsidRDefault="00CA44E3" w:rsidP="00CA44E3">
      <w:pPr>
        <w:spacing w:after="0" w:line="240" w:lineRule="auto"/>
        <w:ind w:firstLine="720"/>
        <w:jc w:val="center"/>
        <w:rPr>
          <w:rFonts w:asciiTheme="minorHAnsi" w:hAnsiTheme="minorHAnsi" w:cstheme="minorHAnsi"/>
          <w:b/>
        </w:rPr>
      </w:pPr>
      <w:r w:rsidRPr="00C8574E">
        <w:rPr>
          <w:rFonts w:asciiTheme="minorHAnsi" w:hAnsiTheme="minorHAnsi" w:cstheme="minorHAnsi"/>
          <w:b/>
          <w:lang w:val="mk-MK"/>
        </w:rPr>
        <w:t xml:space="preserve">за </w:t>
      </w:r>
      <w:proofErr w:type="spellStart"/>
      <w:r w:rsidRPr="00C8574E">
        <w:rPr>
          <w:rFonts w:asciiTheme="minorHAnsi" w:hAnsiTheme="minorHAnsi" w:cstheme="minorHAnsi"/>
          <w:b/>
        </w:rPr>
        <w:t>одобрување</w:t>
      </w:r>
      <w:proofErr w:type="spellEnd"/>
      <w:r w:rsidRPr="00C8574E">
        <w:rPr>
          <w:rFonts w:asciiTheme="minorHAnsi" w:hAnsiTheme="minorHAnsi" w:cstheme="minorHAnsi"/>
          <w:b/>
        </w:rPr>
        <w:t xml:space="preserve"> </w:t>
      </w:r>
      <w:proofErr w:type="spellStart"/>
      <w:r w:rsidRPr="00C8574E">
        <w:rPr>
          <w:rFonts w:asciiTheme="minorHAnsi" w:hAnsiTheme="minorHAnsi" w:cstheme="minorHAnsi"/>
          <w:b/>
        </w:rPr>
        <w:t>на</w:t>
      </w:r>
      <w:proofErr w:type="spellEnd"/>
      <w:r w:rsidRPr="00C8574E">
        <w:rPr>
          <w:rFonts w:asciiTheme="minorHAnsi" w:hAnsiTheme="minorHAnsi" w:cstheme="minorHAnsi"/>
          <w:b/>
        </w:rPr>
        <w:t xml:space="preserve"> </w:t>
      </w:r>
      <w:r w:rsidRPr="00C8574E">
        <w:rPr>
          <w:rFonts w:asciiTheme="minorHAnsi" w:hAnsiTheme="minorHAnsi" w:cstheme="minorHAnsi"/>
          <w:b/>
          <w:lang w:val="mk-MK"/>
        </w:rPr>
        <w:t>Завршна сметка</w:t>
      </w:r>
      <w:r w:rsidRPr="00C8574E">
        <w:rPr>
          <w:rFonts w:asciiTheme="minorHAnsi" w:hAnsiTheme="minorHAnsi" w:cstheme="minorHAnsi"/>
          <w:b/>
        </w:rPr>
        <w:t xml:space="preserve"> </w:t>
      </w:r>
      <w:proofErr w:type="spellStart"/>
      <w:r w:rsidRPr="00C8574E">
        <w:rPr>
          <w:rFonts w:asciiTheme="minorHAnsi" w:hAnsiTheme="minorHAnsi" w:cstheme="minorHAnsi"/>
          <w:b/>
        </w:rPr>
        <w:t>на</w:t>
      </w:r>
      <w:proofErr w:type="spellEnd"/>
      <w:r w:rsidRPr="00C8574E">
        <w:rPr>
          <w:rFonts w:asciiTheme="minorHAnsi" w:hAnsiTheme="minorHAnsi" w:cstheme="minorHAnsi"/>
          <w:b/>
        </w:rPr>
        <w:t xml:space="preserve"> </w:t>
      </w:r>
      <w:proofErr w:type="spellStart"/>
      <w:r w:rsidRPr="00C8574E">
        <w:rPr>
          <w:rFonts w:asciiTheme="minorHAnsi" w:hAnsiTheme="minorHAnsi" w:cstheme="minorHAnsi"/>
          <w:b/>
        </w:rPr>
        <w:t>Друштвото</w:t>
      </w:r>
      <w:proofErr w:type="spellEnd"/>
    </w:p>
    <w:p w14:paraId="06CA6556" w14:textId="77777777" w:rsidR="00CA44E3" w:rsidRPr="00C8574E" w:rsidRDefault="00CA44E3" w:rsidP="00CA44E3">
      <w:pPr>
        <w:spacing w:after="0" w:line="240" w:lineRule="auto"/>
        <w:ind w:firstLine="720"/>
        <w:jc w:val="center"/>
        <w:rPr>
          <w:rFonts w:asciiTheme="minorHAnsi" w:hAnsiTheme="minorHAnsi" w:cstheme="minorHAnsi"/>
          <w:b/>
          <w:lang w:val="mk-MK"/>
        </w:rPr>
      </w:pPr>
      <w:proofErr w:type="spellStart"/>
      <w:r w:rsidRPr="00C8574E">
        <w:rPr>
          <w:rFonts w:asciiTheme="minorHAnsi" w:hAnsiTheme="minorHAnsi" w:cstheme="minorHAnsi"/>
          <w:b/>
        </w:rPr>
        <w:t>во</w:t>
      </w:r>
      <w:proofErr w:type="spellEnd"/>
      <w:r w:rsidRPr="00C8574E">
        <w:rPr>
          <w:rFonts w:asciiTheme="minorHAnsi" w:hAnsiTheme="minorHAnsi" w:cstheme="minorHAnsi"/>
          <w:b/>
        </w:rPr>
        <w:t xml:space="preserve"> </w:t>
      </w:r>
      <w:proofErr w:type="spellStart"/>
      <w:r w:rsidRPr="00C8574E">
        <w:rPr>
          <w:rFonts w:asciiTheme="minorHAnsi" w:hAnsiTheme="minorHAnsi" w:cstheme="minorHAnsi"/>
          <w:b/>
        </w:rPr>
        <w:t>деловна</w:t>
      </w:r>
      <w:proofErr w:type="spellEnd"/>
      <w:r w:rsidRPr="00C8574E">
        <w:rPr>
          <w:rFonts w:asciiTheme="minorHAnsi" w:hAnsiTheme="minorHAnsi" w:cstheme="minorHAnsi"/>
          <w:b/>
        </w:rPr>
        <w:t xml:space="preserve"> </w:t>
      </w:r>
      <w:proofErr w:type="spellStart"/>
      <w:r w:rsidRPr="00C8574E">
        <w:rPr>
          <w:rFonts w:asciiTheme="minorHAnsi" w:hAnsiTheme="minorHAnsi" w:cstheme="minorHAnsi"/>
          <w:b/>
        </w:rPr>
        <w:t>година</w:t>
      </w:r>
      <w:proofErr w:type="spellEnd"/>
      <w:r w:rsidRPr="00C8574E">
        <w:rPr>
          <w:rFonts w:asciiTheme="minorHAnsi" w:hAnsiTheme="minorHAnsi" w:cstheme="minorHAnsi"/>
          <w:b/>
          <w:lang w:val="mk-MK"/>
        </w:rPr>
        <w:t xml:space="preserve"> 2021</w:t>
      </w:r>
    </w:p>
    <w:p w14:paraId="1D9E4626" w14:textId="77777777" w:rsidR="00CA44E3" w:rsidRPr="00C8574E" w:rsidRDefault="00CA44E3" w:rsidP="00CA44E3">
      <w:pPr>
        <w:spacing w:after="0" w:line="240" w:lineRule="auto"/>
        <w:ind w:firstLine="720"/>
        <w:jc w:val="center"/>
        <w:rPr>
          <w:rFonts w:asciiTheme="minorHAnsi" w:hAnsiTheme="minorHAnsi" w:cstheme="minorHAnsi"/>
          <w:b/>
          <w:lang w:val="mk-MK"/>
        </w:rPr>
      </w:pPr>
    </w:p>
    <w:p w14:paraId="5BF5D23B" w14:textId="77777777" w:rsidR="00CA44E3" w:rsidRPr="00C8574E" w:rsidRDefault="00CA44E3" w:rsidP="00CA44E3">
      <w:pPr>
        <w:spacing w:after="0" w:line="240" w:lineRule="auto"/>
        <w:ind w:firstLine="720"/>
        <w:jc w:val="center"/>
        <w:rPr>
          <w:rFonts w:asciiTheme="minorHAnsi" w:hAnsiTheme="minorHAnsi" w:cstheme="minorHAnsi"/>
          <w:b/>
          <w:lang w:val="mk-MK"/>
        </w:rPr>
      </w:pPr>
    </w:p>
    <w:p w14:paraId="008F04A5" w14:textId="77777777" w:rsidR="00CA44E3" w:rsidRPr="00C8574E" w:rsidRDefault="00CA44E3" w:rsidP="00CA44E3">
      <w:pPr>
        <w:spacing w:after="0" w:line="240" w:lineRule="auto"/>
        <w:ind w:firstLine="720"/>
        <w:jc w:val="center"/>
        <w:rPr>
          <w:rFonts w:asciiTheme="minorHAnsi" w:hAnsiTheme="minorHAnsi" w:cstheme="minorHAnsi"/>
          <w:b/>
          <w:lang w:val="mk-MK"/>
        </w:rPr>
      </w:pPr>
    </w:p>
    <w:p w14:paraId="09B1CDF0" w14:textId="77777777" w:rsidR="00CA44E3" w:rsidRPr="00C8574E" w:rsidRDefault="00CA44E3" w:rsidP="00CA44E3">
      <w:pPr>
        <w:spacing w:after="0" w:line="240" w:lineRule="auto"/>
        <w:ind w:firstLine="720"/>
        <w:jc w:val="center"/>
        <w:rPr>
          <w:rFonts w:asciiTheme="minorHAnsi" w:hAnsiTheme="minorHAnsi" w:cstheme="minorHAnsi"/>
          <w:lang w:val="mk-MK"/>
        </w:rPr>
      </w:pPr>
      <w:r w:rsidRPr="00C8574E">
        <w:rPr>
          <w:rFonts w:asciiTheme="minorHAnsi" w:hAnsiTheme="minorHAnsi" w:cstheme="minorHAnsi"/>
          <w:lang w:val="mk-MK"/>
        </w:rPr>
        <w:t>Член 1</w:t>
      </w:r>
    </w:p>
    <w:p w14:paraId="0536392C" w14:textId="77777777" w:rsidR="00CA44E3" w:rsidRPr="00C8574E" w:rsidRDefault="00CA44E3" w:rsidP="00CA44E3">
      <w:pPr>
        <w:spacing w:after="0" w:line="240" w:lineRule="auto"/>
        <w:ind w:firstLine="720"/>
        <w:jc w:val="both"/>
        <w:rPr>
          <w:rFonts w:asciiTheme="minorHAnsi" w:hAnsiTheme="minorHAnsi" w:cstheme="minorHAnsi"/>
          <w:lang w:val="mk-MK"/>
        </w:rPr>
      </w:pPr>
      <w:r w:rsidRPr="00C8574E">
        <w:rPr>
          <w:rFonts w:asciiTheme="minorHAnsi" w:hAnsiTheme="minorHAnsi" w:cstheme="minorHAnsi"/>
          <w:lang w:val="mk-MK"/>
        </w:rPr>
        <w:t>СЕ ОДОБРУВА</w:t>
      </w:r>
      <w:r w:rsidRPr="00C8574E">
        <w:rPr>
          <w:rFonts w:asciiTheme="minorHAnsi" w:hAnsiTheme="minorHAnsi" w:cstheme="minorHAnsi"/>
        </w:rPr>
        <w:t xml:space="preserve"> </w:t>
      </w:r>
      <w:r w:rsidRPr="00C8574E">
        <w:rPr>
          <w:rFonts w:asciiTheme="minorHAnsi" w:hAnsiTheme="minorHAnsi" w:cstheme="minorHAnsi"/>
          <w:lang w:val="mk-MK"/>
        </w:rPr>
        <w:t>Завршна сметка</w:t>
      </w:r>
      <w:r w:rsidRPr="00C8574E">
        <w:rPr>
          <w:rFonts w:asciiTheme="minorHAnsi" w:hAnsiTheme="minorHAnsi" w:cstheme="minorHAnsi"/>
        </w:rPr>
        <w:t xml:space="preserve"> </w:t>
      </w:r>
      <w:proofErr w:type="spellStart"/>
      <w:r w:rsidRPr="00C8574E">
        <w:rPr>
          <w:rFonts w:asciiTheme="minorHAnsi" w:hAnsiTheme="minorHAnsi" w:cstheme="minorHAnsi"/>
        </w:rPr>
        <w:t>на</w:t>
      </w:r>
      <w:proofErr w:type="spellEnd"/>
      <w:r w:rsidRPr="00C8574E">
        <w:rPr>
          <w:rFonts w:asciiTheme="minorHAnsi" w:hAnsiTheme="minorHAnsi" w:cstheme="minorHAnsi"/>
          <w:lang w:val="mk-MK"/>
        </w:rPr>
        <w:t xml:space="preserve"> Осигурителното брокерско друштво СН ОСИГУРИТЕЛЕН БРОКЕР АД Битола за деловната 2021 година.  </w:t>
      </w:r>
    </w:p>
    <w:p w14:paraId="0C3C08D1" w14:textId="77777777" w:rsidR="00CA44E3" w:rsidRPr="00C8574E" w:rsidRDefault="00CA44E3" w:rsidP="00CA44E3">
      <w:pPr>
        <w:spacing w:after="0" w:line="240" w:lineRule="auto"/>
        <w:ind w:firstLine="720"/>
        <w:jc w:val="center"/>
        <w:rPr>
          <w:rFonts w:asciiTheme="minorHAnsi" w:hAnsiTheme="minorHAnsi" w:cstheme="minorHAnsi"/>
          <w:lang w:val="mk-MK"/>
        </w:rPr>
      </w:pPr>
    </w:p>
    <w:p w14:paraId="762B021E" w14:textId="77777777" w:rsidR="00CA44E3" w:rsidRPr="00C8574E" w:rsidRDefault="00CA44E3" w:rsidP="00CA44E3">
      <w:pPr>
        <w:spacing w:after="0" w:line="240" w:lineRule="auto"/>
        <w:ind w:firstLine="720"/>
        <w:jc w:val="center"/>
        <w:rPr>
          <w:rFonts w:asciiTheme="minorHAnsi" w:hAnsiTheme="minorHAnsi" w:cstheme="minorHAnsi"/>
          <w:lang w:val="mk-MK"/>
        </w:rPr>
      </w:pPr>
      <w:r w:rsidRPr="00C8574E">
        <w:rPr>
          <w:rFonts w:asciiTheme="minorHAnsi" w:hAnsiTheme="minorHAnsi" w:cstheme="minorHAnsi"/>
          <w:lang w:val="mk-MK"/>
        </w:rPr>
        <w:t>Член 2</w:t>
      </w:r>
    </w:p>
    <w:p w14:paraId="6AFD2654" w14:textId="77777777" w:rsidR="00CA44E3" w:rsidRPr="00C8574E" w:rsidRDefault="00CA44E3" w:rsidP="00CA44E3">
      <w:pPr>
        <w:spacing w:after="0" w:line="240" w:lineRule="auto"/>
        <w:ind w:firstLine="720"/>
        <w:jc w:val="both"/>
        <w:rPr>
          <w:rFonts w:asciiTheme="minorHAnsi" w:hAnsiTheme="minorHAnsi" w:cstheme="minorHAnsi"/>
        </w:rPr>
      </w:pPr>
      <w:r w:rsidRPr="00C8574E">
        <w:rPr>
          <w:rFonts w:asciiTheme="minorHAnsi" w:hAnsiTheme="minorHAnsi" w:cstheme="minorHAnsi"/>
          <w:lang w:val="mk-MK"/>
        </w:rPr>
        <w:t>Составен дел на оваа одлука е</w:t>
      </w:r>
      <w:r w:rsidRPr="00C8574E">
        <w:rPr>
          <w:rFonts w:asciiTheme="minorHAnsi" w:hAnsiTheme="minorHAnsi" w:cstheme="minorHAnsi"/>
        </w:rPr>
        <w:t>:</w:t>
      </w:r>
    </w:p>
    <w:p w14:paraId="0CB45CA1" w14:textId="77777777" w:rsidR="00CA44E3" w:rsidRPr="00C8574E" w:rsidRDefault="00CA44E3" w:rsidP="00CA44E3">
      <w:pPr>
        <w:spacing w:after="0" w:line="240" w:lineRule="auto"/>
        <w:ind w:firstLine="720"/>
        <w:jc w:val="both"/>
        <w:rPr>
          <w:rFonts w:asciiTheme="minorHAnsi" w:hAnsiTheme="minorHAnsi" w:cstheme="minorHAnsi"/>
        </w:rPr>
      </w:pPr>
      <w:r w:rsidRPr="00C8574E">
        <w:rPr>
          <w:rFonts w:asciiTheme="minorHAnsi" w:hAnsiTheme="minorHAnsi" w:cstheme="minorHAnsi"/>
        </w:rPr>
        <w:t>1.</w:t>
      </w:r>
      <w:r w:rsidRPr="00C8574E">
        <w:rPr>
          <w:rFonts w:asciiTheme="minorHAnsi" w:hAnsiTheme="minorHAnsi" w:cstheme="minorHAnsi"/>
          <w:lang w:val="mk-MK"/>
        </w:rPr>
        <w:t>Завршна сметка</w:t>
      </w:r>
      <w:r w:rsidRPr="00C8574E">
        <w:rPr>
          <w:rFonts w:asciiTheme="minorHAnsi" w:hAnsiTheme="minorHAnsi" w:cstheme="minorHAnsi"/>
        </w:rPr>
        <w:t xml:space="preserve"> </w:t>
      </w:r>
      <w:proofErr w:type="spellStart"/>
      <w:r w:rsidRPr="00C8574E">
        <w:rPr>
          <w:rFonts w:asciiTheme="minorHAnsi" w:hAnsiTheme="minorHAnsi" w:cstheme="minorHAnsi"/>
        </w:rPr>
        <w:t>на</w:t>
      </w:r>
      <w:proofErr w:type="spellEnd"/>
      <w:r w:rsidRPr="00C8574E">
        <w:rPr>
          <w:rFonts w:asciiTheme="minorHAnsi" w:hAnsiTheme="minorHAnsi" w:cstheme="minorHAnsi"/>
          <w:lang w:val="mk-MK"/>
        </w:rPr>
        <w:t xml:space="preserve"> Осигурителното брокерско друштво СН ОСИГУРИТЕЛЕН БРОКЕР АД Битола за 2021 година.  </w:t>
      </w:r>
    </w:p>
    <w:p w14:paraId="7E52468E" w14:textId="77777777" w:rsidR="00CA44E3" w:rsidRPr="00C8574E" w:rsidRDefault="00CA44E3" w:rsidP="00CA44E3">
      <w:pPr>
        <w:spacing w:after="0" w:line="240" w:lineRule="auto"/>
        <w:ind w:firstLine="720"/>
        <w:jc w:val="center"/>
        <w:rPr>
          <w:rFonts w:asciiTheme="minorHAnsi" w:hAnsiTheme="minorHAnsi" w:cstheme="minorHAnsi"/>
          <w:lang w:val="mk-MK"/>
        </w:rPr>
      </w:pPr>
      <w:r w:rsidRPr="00C8574E">
        <w:rPr>
          <w:rFonts w:asciiTheme="minorHAnsi" w:hAnsiTheme="minorHAnsi" w:cstheme="minorHAnsi"/>
          <w:lang w:val="mk-MK"/>
        </w:rPr>
        <w:t>Член 3</w:t>
      </w:r>
    </w:p>
    <w:p w14:paraId="3569AD06" w14:textId="77777777" w:rsidR="00CA44E3" w:rsidRPr="00C8574E" w:rsidRDefault="00CA44E3" w:rsidP="00CA44E3">
      <w:pPr>
        <w:spacing w:after="0" w:line="240" w:lineRule="auto"/>
        <w:ind w:firstLine="720"/>
        <w:jc w:val="both"/>
        <w:rPr>
          <w:rFonts w:asciiTheme="minorHAnsi" w:hAnsiTheme="minorHAnsi" w:cstheme="minorHAnsi"/>
          <w:lang w:val="mk-MK"/>
        </w:rPr>
      </w:pPr>
      <w:r w:rsidRPr="00C8574E">
        <w:rPr>
          <w:rFonts w:asciiTheme="minorHAnsi" w:hAnsiTheme="minorHAnsi" w:cstheme="minorHAnsi"/>
          <w:lang w:val="mk-MK"/>
        </w:rPr>
        <w:t xml:space="preserve">Оваа </w:t>
      </w:r>
      <w:proofErr w:type="spellStart"/>
      <w:r w:rsidRPr="00C8574E">
        <w:rPr>
          <w:rFonts w:asciiTheme="minorHAnsi" w:eastAsia="Arial" w:hAnsiTheme="minorHAnsi" w:cstheme="minorHAnsi"/>
          <w:color w:val="000000"/>
          <w:spacing w:val="2"/>
        </w:rPr>
        <w:t>одлука</w:t>
      </w:r>
      <w:proofErr w:type="spellEnd"/>
      <w:r w:rsidRPr="00C8574E">
        <w:rPr>
          <w:rFonts w:asciiTheme="minorHAnsi" w:eastAsia="Arial" w:hAnsiTheme="minorHAnsi" w:cstheme="minorHAnsi"/>
          <w:color w:val="000000"/>
          <w:spacing w:val="2"/>
          <w:lang w:val="mk-MK"/>
        </w:rPr>
        <w:t xml:space="preserve"> влегува </w:t>
      </w:r>
      <w:proofErr w:type="spellStart"/>
      <w:r w:rsidRPr="00C8574E">
        <w:rPr>
          <w:rFonts w:asciiTheme="minorHAnsi" w:hAnsiTheme="minorHAnsi" w:cstheme="minorHAnsi"/>
        </w:rPr>
        <w:t>во</w:t>
      </w:r>
      <w:proofErr w:type="spellEnd"/>
      <w:r w:rsidRPr="00C8574E">
        <w:rPr>
          <w:rFonts w:asciiTheme="minorHAnsi" w:hAnsiTheme="minorHAnsi" w:cstheme="minorHAnsi"/>
        </w:rPr>
        <w:t xml:space="preserve"> </w:t>
      </w:r>
      <w:proofErr w:type="spellStart"/>
      <w:r w:rsidRPr="00C8574E">
        <w:rPr>
          <w:rFonts w:asciiTheme="minorHAnsi" w:hAnsiTheme="minorHAnsi" w:cstheme="minorHAnsi"/>
        </w:rPr>
        <w:t>сила</w:t>
      </w:r>
      <w:proofErr w:type="spellEnd"/>
      <w:r w:rsidRPr="00C8574E">
        <w:rPr>
          <w:rFonts w:asciiTheme="minorHAnsi" w:hAnsiTheme="minorHAnsi" w:cstheme="minorHAnsi"/>
        </w:rPr>
        <w:t xml:space="preserve"> </w:t>
      </w:r>
      <w:proofErr w:type="spellStart"/>
      <w:r w:rsidRPr="00C8574E">
        <w:rPr>
          <w:rFonts w:asciiTheme="minorHAnsi" w:hAnsiTheme="minorHAnsi" w:cstheme="minorHAnsi"/>
        </w:rPr>
        <w:t>со</w:t>
      </w:r>
      <w:proofErr w:type="spellEnd"/>
      <w:r w:rsidRPr="00C8574E">
        <w:rPr>
          <w:rFonts w:asciiTheme="minorHAnsi" w:hAnsiTheme="minorHAnsi" w:cstheme="minorHAnsi"/>
        </w:rPr>
        <w:t xml:space="preserve"> </w:t>
      </w:r>
      <w:proofErr w:type="spellStart"/>
      <w:r w:rsidRPr="00C8574E">
        <w:rPr>
          <w:rFonts w:asciiTheme="minorHAnsi" w:hAnsiTheme="minorHAnsi" w:cstheme="minorHAnsi"/>
        </w:rPr>
        <w:t>денот</w:t>
      </w:r>
      <w:proofErr w:type="spellEnd"/>
      <w:r w:rsidRPr="00C8574E">
        <w:rPr>
          <w:rFonts w:asciiTheme="minorHAnsi" w:hAnsiTheme="minorHAnsi" w:cstheme="minorHAnsi"/>
        </w:rPr>
        <w:t xml:space="preserve"> </w:t>
      </w:r>
      <w:proofErr w:type="spellStart"/>
      <w:r w:rsidRPr="00C8574E">
        <w:rPr>
          <w:rFonts w:asciiTheme="minorHAnsi" w:hAnsiTheme="minorHAnsi" w:cstheme="minorHAnsi"/>
        </w:rPr>
        <w:t>на</w:t>
      </w:r>
      <w:proofErr w:type="spellEnd"/>
      <w:r w:rsidRPr="00C8574E">
        <w:rPr>
          <w:rFonts w:asciiTheme="minorHAnsi" w:hAnsiTheme="minorHAnsi" w:cstheme="minorHAnsi"/>
        </w:rPr>
        <w:t xml:space="preserve"> </w:t>
      </w:r>
      <w:proofErr w:type="spellStart"/>
      <w:r w:rsidRPr="00C8574E">
        <w:rPr>
          <w:rFonts w:asciiTheme="minorHAnsi" w:hAnsiTheme="minorHAnsi" w:cstheme="minorHAnsi"/>
        </w:rPr>
        <w:t>донесувањето</w:t>
      </w:r>
      <w:proofErr w:type="spellEnd"/>
      <w:r w:rsidRPr="00C8574E">
        <w:rPr>
          <w:rFonts w:asciiTheme="minorHAnsi" w:eastAsia="Arial" w:hAnsiTheme="minorHAnsi" w:cstheme="minorHAnsi"/>
          <w:color w:val="000000"/>
          <w:spacing w:val="2"/>
        </w:rPr>
        <w:t>.</w:t>
      </w:r>
    </w:p>
    <w:p w14:paraId="08F5CBF1" w14:textId="77777777" w:rsidR="00CA44E3" w:rsidRPr="00C8574E" w:rsidRDefault="00CA44E3" w:rsidP="00CA44E3">
      <w:pPr>
        <w:pStyle w:val="Standard"/>
        <w:jc w:val="both"/>
        <w:rPr>
          <w:rFonts w:asciiTheme="minorHAnsi" w:hAnsiTheme="minorHAnsi" w:cstheme="minorHAnsi"/>
          <w:sz w:val="22"/>
          <w:szCs w:val="22"/>
          <w:lang w:val="mk-MK"/>
        </w:rPr>
      </w:pPr>
    </w:p>
    <w:p w14:paraId="589D85C3" w14:textId="77777777" w:rsidR="00CA44E3" w:rsidRPr="00C8574E" w:rsidRDefault="00CA44E3" w:rsidP="00CA44E3">
      <w:pPr>
        <w:pStyle w:val="Standard"/>
        <w:jc w:val="both"/>
        <w:rPr>
          <w:rFonts w:asciiTheme="minorHAnsi" w:hAnsiTheme="minorHAnsi" w:cstheme="minorHAnsi"/>
          <w:sz w:val="22"/>
          <w:szCs w:val="22"/>
          <w:lang w:val="mk-MK"/>
        </w:rPr>
      </w:pPr>
    </w:p>
    <w:p w14:paraId="1D40A1CC" w14:textId="6798C07A" w:rsidR="00767353" w:rsidRDefault="00767353"/>
    <w:p w14:paraId="6A1CFFE7" w14:textId="75923D39" w:rsidR="003B010B" w:rsidRDefault="003B010B"/>
    <w:p w14:paraId="06439AAA" w14:textId="6A910F0C" w:rsidR="003B010B" w:rsidRDefault="003B010B"/>
    <w:p w14:paraId="59FB2E67" w14:textId="1430069A" w:rsidR="003B010B" w:rsidRDefault="003B010B"/>
    <w:p w14:paraId="117A0BFA" w14:textId="0EE3BD93" w:rsidR="003B010B" w:rsidRDefault="003B010B">
      <w:pPr>
        <w:rPr>
          <w:lang w:val="mk-MK"/>
        </w:rPr>
      </w:pPr>
      <w:r>
        <w:rPr>
          <w:lang w:val="mk-MK"/>
        </w:rPr>
        <w:t>Битола, 12.08.2022.</w:t>
      </w:r>
    </w:p>
    <w:p w14:paraId="51EC6CF2" w14:textId="761C50C2" w:rsidR="003B010B" w:rsidRDefault="003B010B">
      <w:pPr>
        <w:rPr>
          <w:lang w:val="mk-MK"/>
        </w:rPr>
      </w:pPr>
    </w:p>
    <w:p w14:paraId="058E20AE" w14:textId="6D6575BC" w:rsidR="003B010B" w:rsidRDefault="003B010B">
      <w:pPr>
        <w:rPr>
          <w:lang w:val="mk-MK"/>
        </w:rPr>
      </w:pPr>
      <w:r>
        <w:rPr>
          <w:lang w:val="mk-MK"/>
        </w:rPr>
        <w:t>Претседавач,</w:t>
      </w:r>
    </w:p>
    <w:p w14:paraId="6862AB19" w14:textId="2C4ADD63" w:rsidR="003B010B" w:rsidRDefault="003B010B">
      <w:pPr>
        <w:rPr>
          <w:lang w:val="mk-MK"/>
        </w:rPr>
      </w:pPr>
    </w:p>
    <w:p w14:paraId="4F1BE9BE" w14:textId="60C43B77" w:rsidR="003B010B" w:rsidRPr="003B010B" w:rsidRDefault="003B010B">
      <w:pPr>
        <w:rPr>
          <w:lang w:val="en-GB"/>
        </w:rPr>
      </w:pPr>
      <w:r>
        <w:rPr>
          <w:lang w:val="mk-MK"/>
        </w:rPr>
        <w:t xml:space="preserve">Зоран Пејчиновски </w:t>
      </w:r>
      <w:r>
        <w:rPr>
          <w:lang w:val="en-GB"/>
        </w:rPr>
        <w:t>_______________________</w:t>
      </w:r>
    </w:p>
    <w:sectPr w:rsidR="003B010B" w:rsidRPr="003B01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10B"/>
    <w:rsid w:val="003B010B"/>
    <w:rsid w:val="00745F63"/>
    <w:rsid w:val="00767353"/>
    <w:rsid w:val="00CA44E3"/>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6DD0A"/>
  <w15:chartTrackingRefBased/>
  <w15:docId w15:val="{7F520672-0FCF-456A-9E90-B8161797F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10B"/>
    <w:pPr>
      <w:suppressAutoHyphens/>
      <w:spacing w:after="200" w:line="276" w:lineRule="auto"/>
    </w:pPr>
    <w:rPr>
      <w:rFonts w:ascii="Calibri" w:eastAsia="Calibri" w:hAnsi="Calibri" w:cs="Calibri"/>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A44E3"/>
    <w:pPr>
      <w:widowControl w:val="0"/>
      <w:suppressAutoHyphens/>
      <w:spacing w:after="0" w:line="240" w:lineRule="auto"/>
      <w:textAlignment w:val="baseline"/>
    </w:pPr>
    <w:rPr>
      <w:rFonts w:ascii="Times New Roman" w:eastAsia="SimSun" w:hAnsi="Times New Roman" w:cs="Mangal"/>
      <w:kern w:val="1"/>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764</Characters>
  <Application>Microsoft Office Word</Application>
  <DocSecurity>0</DocSecurity>
  <Lines>6</Lines>
  <Paragraphs>1</Paragraphs>
  <ScaleCrop>false</ScaleCrop>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 Osiguritelen Broker AD BITOLA</dc:creator>
  <cp:keywords/>
  <dc:description/>
  <cp:lastModifiedBy>SN Osiguritelen Broker AD BITOLA</cp:lastModifiedBy>
  <cp:revision>3</cp:revision>
  <dcterms:created xsi:type="dcterms:W3CDTF">2022-07-12T09:27:00Z</dcterms:created>
  <dcterms:modified xsi:type="dcterms:W3CDTF">2022-07-12T09:37:00Z</dcterms:modified>
</cp:coreProperties>
</file>